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B52C22" w:rsidRPr="00373D36" w:rsidRDefault="00000000" w:rsidP="00373D36">
      <w:pPr>
        <w:spacing w:line="360" w:lineRule="auto"/>
        <w:jc w:val="center"/>
        <w:rPr>
          <w:rFonts w:ascii="Arial Narrow" w:eastAsia="Arial Narrow" w:hAnsi="Arial Narrow" w:cs="Arial Narrow"/>
          <w:b/>
          <w:bCs/>
          <w:sz w:val="20"/>
          <w:szCs w:val="20"/>
        </w:rPr>
      </w:pPr>
      <w:r w:rsidRPr="00373D36">
        <w:rPr>
          <w:rFonts w:ascii="Arial Narrow" w:eastAsia="Arial Narrow" w:hAnsi="Arial Narrow" w:cs="Arial Narrow"/>
          <w:b/>
          <w:bCs/>
          <w:sz w:val="20"/>
          <w:szCs w:val="20"/>
        </w:rPr>
        <w:t>PLANES COMPLEMENTARIOS DE APOYO</w:t>
      </w:r>
    </w:p>
    <w:p w:rsidR="00B52C22" w:rsidRDefault="00000000">
      <w:pPr>
        <w:spacing w:line="360" w:lineRule="auto"/>
        <w:jc w:val="both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>Asignatura: BIOLOGIA             Grado: 11        Periodo: 4                   Año: 2024</w:t>
      </w:r>
    </w:p>
    <w:p w:rsidR="00B52C22" w:rsidRPr="00373D36" w:rsidRDefault="00000000">
      <w:pPr>
        <w:spacing w:line="360" w:lineRule="auto"/>
        <w:jc w:val="both"/>
        <w:rPr>
          <w:rFonts w:ascii="Arial Narrow" w:eastAsia="Arial Narrow" w:hAnsi="Arial Narrow" w:cs="Arial Narrow"/>
          <w:b/>
          <w:bCs/>
          <w:sz w:val="20"/>
          <w:szCs w:val="20"/>
        </w:rPr>
      </w:pPr>
      <w:r w:rsidRPr="00373D36">
        <w:rPr>
          <w:rFonts w:ascii="Arial Narrow" w:eastAsia="Arial Narrow" w:hAnsi="Arial Narrow" w:cs="Arial Narrow"/>
          <w:b/>
          <w:bCs/>
          <w:sz w:val="20"/>
          <w:szCs w:val="20"/>
        </w:rPr>
        <w:t>RECOMENDACIONES</w:t>
      </w:r>
    </w:p>
    <w:p w:rsidR="002B6382" w:rsidRDefault="002B6382" w:rsidP="002B6382">
      <w:pPr>
        <w:tabs>
          <w:tab w:val="left" w:pos="8189"/>
          <w:tab w:val="right" w:pos="9960"/>
        </w:tabs>
        <w:spacing w:line="360" w:lineRule="auto"/>
        <w:jc w:val="both"/>
        <w:rPr>
          <w:rFonts w:ascii="Arial Narrow" w:eastAsia="Arial Narrow" w:hAnsi="Arial Narrow" w:cs="Arial Narrow"/>
          <w:i/>
        </w:rPr>
      </w:pPr>
      <w:r>
        <w:rPr>
          <w:rFonts w:ascii="Arial Narrow" w:eastAsia="Arial Narrow" w:hAnsi="Arial Narrow" w:cs="Arial Narrow"/>
          <w:i/>
        </w:rPr>
        <w:t>Cada periodo el docente formula una pregunta problematizadora o situación problema relacionada con las metas de aprendizaje que le ayudan al estudiante a prepararse para sustentar sus conocimientos y niveles de competencia desde cada área. Este proceso está programado la semana del 15 al 17 de octubre y del 21 al 2</w:t>
      </w:r>
      <w:r w:rsidR="002B6A62">
        <w:rPr>
          <w:rFonts w:ascii="Arial Narrow" w:eastAsia="Arial Narrow" w:hAnsi="Arial Narrow" w:cs="Arial Narrow"/>
          <w:i/>
        </w:rPr>
        <w:t>4</w:t>
      </w:r>
      <w:r>
        <w:rPr>
          <w:rFonts w:ascii="Arial Narrow" w:eastAsia="Arial Narrow" w:hAnsi="Arial Narrow" w:cs="Arial Narrow"/>
          <w:i/>
        </w:rPr>
        <w:t xml:space="preserve"> de octubre de 2024. El estudiante debe repasar los conceptos que se citan a continuación con ayuda de las notas de clase, el cuaderno y guías de trabajo con el fin de presentar sustentación que dé cuenta de las competencias adquiridas.</w:t>
      </w:r>
    </w:p>
    <w:p w:rsidR="00B52C22" w:rsidRDefault="00000000" w:rsidP="00373D36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 Narrow" w:eastAsia="Arial Narrow" w:hAnsi="Arial Narrow" w:cs="Arial Narrow"/>
          <w:b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b/>
          <w:color w:val="000000"/>
          <w:sz w:val="20"/>
          <w:szCs w:val="20"/>
        </w:rPr>
        <w:t>Pregunta Problematiza dora</w:t>
      </w:r>
    </w:p>
    <w:p w:rsidR="00B52C22" w:rsidRDefault="00000000">
      <w:pPr>
        <w:ind w:left="360"/>
        <w:rPr>
          <w:rFonts w:ascii="Arial Narrow" w:eastAsia="Arial Narrow" w:hAnsi="Arial Narrow" w:cs="Arial Narrow"/>
          <w:sz w:val="20"/>
          <w:szCs w:val="20"/>
        </w:rPr>
      </w:pPr>
      <w:r>
        <w:rPr>
          <w:rFonts w:ascii="Arial Narrow" w:eastAsia="Arial Narrow" w:hAnsi="Arial Narrow" w:cs="Arial Narrow"/>
          <w:sz w:val="20"/>
          <w:szCs w:val="20"/>
        </w:rPr>
        <w:t xml:space="preserve"> ¿</w:t>
      </w:r>
      <w:r>
        <w:t>Cómo</w:t>
      </w:r>
      <w:r>
        <w:rPr>
          <w:rFonts w:ascii="Arial Narrow" w:eastAsia="Arial Narrow" w:hAnsi="Arial Narrow" w:cs="Arial Narrow"/>
          <w:sz w:val="20"/>
          <w:szCs w:val="20"/>
        </w:rPr>
        <w:t xml:space="preserve"> influye la conceptualización de las ITS y los métodos anticonceptivos en la reducción del embarazo y la transmisión de enfermedades sexuales en los adolescentes?</w:t>
      </w:r>
    </w:p>
    <w:p w:rsidR="00B52C22" w:rsidRDefault="00000000">
      <w:pPr>
        <w:ind w:left="360"/>
        <w:rPr>
          <w:rFonts w:ascii="Arial Narrow" w:eastAsia="Arial Narrow" w:hAnsi="Arial Narrow" w:cs="Arial Narrow"/>
          <w:b/>
          <w:sz w:val="20"/>
          <w:szCs w:val="20"/>
        </w:rPr>
      </w:pPr>
      <w:r>
        <w:rPr>
          <w:rFonts w:ascii="Arial Narrow" w:eastAsia="Arial Narrow" w:hAnsi="Arial Narrow" w:cs="Arial Narrow"/>
          <w:b/>
          <w:sz w:val="20"/>
          <w:szCs w:val="20"/>
        </w:rPr>
        <w:t>Metas de aprendizaje</w:t>
      </w:r>
    </w:p>
    <w:p w:rsidR="00373D36" w:rsidRDefault="00000000" w:rsidP="00373D3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 xml:space="preserve">-Identificar diferentes métodos de planificación y reconocer las principales conductas que pueden originar una enfermedad de transmisión sexual.                                                                                                                                    -Reconocer y argumentar la importancia de las medidas de prevención del embarazo y de las enfermedades de transmisión sexual en el mantenimiento de la salud individual y colectiva.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-Comprender y explicar la anatomía y fisiología del sistema reproductor masculino y femenino, relacionándolo con sus funciones                                                    </w:t>
      </w:r>
    </w:p>
    <w:p w:rsidR="00B52C22" w:rsidRDefault="00000000" w:rsidP="00373D3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 xml:space="preserve"> -Describir factores culturales y tecnológicos que inciden en la sexualidad y reproducción humana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373D36" w:rsidRDefault="00000000" w:rsidP="00373D3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 xml:space="preserve">- Relacionar el papel biológico de las hormonas en el comportamiento sexual       </w:t>
      </w:r>
    </w:p>
    <w:p w:rsidR="00B52C22" w:rsidRDefault="00000000" w:rsidP="00373D36">
      <w:pPr>
        <w:pBdr>
          <w:top w:val="nil"/>
          <w:left w:val="nil"/>
          <w:bottom w:val="nil"/>
          <w:right w:val="nil"/>
          <w:between w:val="nil"/>
        </w:pBdr>
        <w:spacing w:after="0"/>
        <w:ind w:left="720"/>
        <w:rPr>
          <w:rFonts w:ascii="Arial Narrow" w:eastAsia="Arial Narrow" w:hAnsi="Arial Narrow" w:cs="Arial Narrow"/>
          <w:color w:val="000000"/>
          <w:sz w:val="20"/>
          <w:szCs w:val="20"/>
        </w:rPr>
      </w:pPr>
      <w:r>
        <w:rPr>
          <w:rFonts w:ascii="Arial Narrow" w:eastAsia="Arial Narrow" w:hAnsi="Arial Narrow" w:cs="Arial Narrow"/>
          <w:color w:val="000000"/>
          <w:sz w:val="20"/>
          <w:szCs w:val="20"/>
        </w:rPr>
        <w:t xml:space="preserve">                 </w:t>
      </w:r>
    </w:p>
    <w:p w:rsidR="00373D36" w:rsidRDefault="00000000" w:rsidP="00373D36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/>
        <w:ind w:left="1440"/>
        <w:rPr>
          <w:rFonts w:ascii="Arial Narrow" w:eastAsia="Arial Narrow" w:hAnsi="Arial Narrow" w:cs="Arial Narrow"/>
          <w:b/>
          <w:color w:val="000000"/>
          <w:sz w:val="20"/>
          <w:szCs w:val="20"/>
        </w:rPr>
      </w:pPr>
      <w:r w:rsidRPr="00373D36">
        <w:rPr>
          <w:rFonts w:ascii="Arial Narrow" w:eastAsia="Arial Narrow" w:hAnsi="Arial Narrow" w:cs="Arial Narrow"/>
          <w:b/>
          <w:color w:val="000000"/>
          <w:sz w:val="20"/>
          <w:szCs w:val="20"/>
        </w:rPr>
        <w:t>Ejes temático y contenido</w:t>
      </w:r>
    </w:p>
    <w:p w:rsidR="00B52C22" w:rsidRPr="00373D36" w:rsidRDefault="00000000" w:rsidP="00373D36">
      <w:pPr>
        <w:pStyle w:val="Prrafodelista"/>
        <w:pBdr>
          <w:top w:val="nil"/>
          <w:left w:val="nil"/>
          <w:bottom w:val="nil"/>
          <w:right w:val="nil"/>
          <w:between w:val="nil"/>
        </w:pBdr>
        <w:spacing w:after="0"/>
        <w:ind w:left="1440"/>
        <w:rPr>
          <w:rFonts w:ascii="Arial Narrow" w:eastAsia="Arial Narrow" w:hAnsi="Arial Narrow" w:cs="Arial Narrow"/>
          <w:bCs/>
          <w:color w:val="000000"/>
          <w:sz w:val="20"/>
          <w:szCs w:val="20"/>
        </w:rPr>
      </w:pPr>
      <w:r w:rsidRPr="00373D36">
        <w:rPr>
          <w:rFonts w:ascii="Arial Narrow" w:eastAsia="Arial Narrow" w:hAnsi="Arial Narrow" w:cs="Arial Narrow"/>
          <w:color w:val="000000"/>
          <w:sz w:val="20"/>
          <w:szCs w:val="20"/>
        </w:rPr>
        <w:br/>
      </w:r>
      <w:r w:rsidRPr="00373D36">
        <w:rPr>
          <w:rFonts w:ascii="Arial Narrow" w:eastAsia="Arial Narrow" w:hAnsi="Arial Narrow" w:cs="Arial Narrow"/>
          <w:bCs/>
          <w:color w:val="000000"/>
          <w:sz w:val="20"/>
          <w:szCs w:val="20"/>
        </w:rPr>
        <w:t>aparato reproductor masculino y femenino</w:t>
      </w:r>
    </w:p>
    <w:p w:rsidR="00B52C22" w:rsidRPr="00373D36" w:rsidRDefault="00000000" w:rsidP="00373D36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Cs/>
          <w:color w:val="000000"/>
          <w:sz w:val="20"/>
          <w:szCs w:val="20"/>
        </w:rPr>
      </w:pPr>
      <w:bookmarkStart w:id="0" w:name="_heading=h.gjdgxs" w:colFirst="0" w:colLast="0"/>
      <w:bookmarkEnd w:id="0"/>
      <w:r w:rsidRPr="00373D36">
        <w:rPr>
          <w:rFonts w:ascii="Arial Narrow" w:eastAsia="Arial Narrow" w:hAnsi="Arial Narrow" w:cs="Arial Narrow"/>
          <w:bCs/>
          <w:color w:val="000000"/>
          <w:sz w:val="20"/>
          <w:szCs w:val="20"/>
        </w:rPr>
        <w:t xml:space="preserve">Formación de Gametos </w:t>
      </w:r>
    </w:p>
    <w:p w:rsidR="00B52C22" w:rsidRPr="00373D36" w:rsidRDefault="00000000" w:rsidP="00373D36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Cs/>
          <w:color w:val="000000"/>
          <w:sz w:val="20"/>
          <w:szCs w:val="20"/>
        </w:rPr>
      </w:pPr>
      <w:r w:rsidRPr="00373D36">
        <w:rPr>
          <w:rFonts w:ascii="Arial Narrow" w:eastAsia="Arial Narrow" w:hAnsi="Arial Narrow" w:cs="Arial Narrow"/>
          <w:bCs/>
          <w:color w:val="000000"/>
          <w:sz w:val="20"/>
          <w:szCs w:val="20"/>
        </w:rPr>
        <w:t xml:space="preserve">Reproducción sexual </w:t>
      </w:r>
    </w:p>
    <w:p w:rsidR="00B52C22" w:rsidRPr="00373D36" w:rsidRDefault="00000000" w:rsidP="00373D36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 Narrow" w:eastAsia="Arial Narrow" w:hAnsi="Arial Narrow" w:cs="Arial Narrow"/>
          <w:bCs/>
          <w:color w:val="000000"/>
          <w:sz w:val="20"/>
          <w:szCs w:val="20"/>
        </w:rPr>
      </w:pPr>
      <w:r w:rsidRPr="00373D36">
        <w:rPr>
          <w:rFonts w:ascii="Arial Narrow" w:eastAsia="Arial Narrow" w:hAnsi="Arial Narrow" w:cs="Arial Narrow"/>
          <w:bCs/>
          <w:color w:val="000000"/>
          <w:sz w:val="20"/>
          <w:szCs w:val="20"/>
        </w:rPr>
        <w:t>Embarazo y aborto</w:t>
      </w:r>
    </w:p>
    <w:p w:rsidR="00B52C22" w:rsidRPr="00373D36" w:rsidRDefault="00000000" w:rsidP="00373D36">
      <w:pPr>
        <w:pStyle w:val="Prrafodelista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rPr>
          <w:rFonts w:ascii="Arial Narrow" w:eastAsia="Arial Narrow" w:hAnsi="Arial Narrow" w:cs="Arial Narrow"/>
          <w:bCs/>
          <w:color w:val="000000"/>
          <w:sz w:val="20"/>
          <w:szCs w:val="20"/>
        </w:rPr>
      </w:pPr>
      <w:r w:rsidRPr="00373D36">
        <w:rPr>
          <w:rFonts w:ascii="Arial Narrow" w:eastAsia="Arial Narrow" w:hAnsi="Arial Narrow" w:cs="Arial Narrow"/>
          <w:bCs/>
          <w:color w:val="000000"/>
          <w:sz w:val="20"/>
          <w:szCs w:val="20"/>
        </w:rPr>
        <w:t>Enfermedades de transmisión sexual</w:t>
      </w:r>
    </w:p>
    <w:p w:rsidR="00373D36" w:rsidRPr="00373D36" w:rsidRDefault="00373D36">
      <w:pPr>
        <w:pBdr>
          <w:top w:val="nil"/>
          <w:left w:val="nil"/>
          <w:bottom w:val="nil"/>
          <w:right w:val="nil"/>
          <w:between w:val="nil"/>
        </w:pBdr>
        <w:ind w:left="720"/>
        <w:rPr>
          <w:rFonts w:ascii="Arial Narrow" w:eastAsia="Arial Narrow" w:hAnsi="Arial Narrow" w:cs="Arial Narrow"/>
          <w:b/>
          <w:color w:val="000000"/>
          <w:sz w:val="20"/>
          <w:szCs w:val="20"/>
        </w:rPr>
      </w:pPr>
      <w:r w:rsidRPr="00373D36">
        <w:rPr>
          <w:rFonts w:ascii="Arial Narrow" w:eastAsia="Arial Narrow" w:hAnsi="Arial Narrow" w:cs="Arial Narrow"/>
          <w:b/>
          <w:color w:val="000000"/>
          <w:sz w:val="20"/>
          <w:szCs w:val="20"/>
        </w:rPr>
        <w:t xml:space="preserve">Referencias: </w:t>
      </w:r>
    </w:p>
    <w:p w:rsidR="00B52C22" w:rsidRPr="00373D36" w:rsidRDefault="00000000" w:rsidP="00373D36">
      <w:pPr>
        <w:pStyle w:val="Prrafodelista"/>
        <w:numPr>
          <w:ilvl w:val="1"/>
          <w:numId w:val="2"/>
        </w:numPr>
        <w:rPr>
          <w:rFonts w:ascii="Arial Narrow" w:eastAsia="Arial Narrow" w:hAnsi="Arial Narrow" w:cs="Arial Narrow"/>
          <w:sz w:val="24"/>
          <w:szCs w:val="24"/>
        </w:rPr>
      </w:pPr>
      <w:r w:rsidRPr="00373D36">
        <w:rPr>
          <w:rFonts w:ascii="Arial Narrow" w:eastAsia="Arial Narrow" w:hAnsi="Arial Narrow" w:cs="Arial Narrow"/>
          <w:sz w:val="24"/>
          <w:szCs w:val="24"/>
        </w:rPr>
        <w:t>Suarez Cadavid, H. (2007). Guía de Actividades Química y Ambiental 11°. Medellín, Colombia: Serfin   Educativo S.A.</w:t>
      </w:r>
    </w:p>
    <w:p w:rsidR="00B52C22" w:rsidRPr="00373D36" w:rsidRDefault="00000000" w:rsidP="00373D36">
      <w:pPr>
        <w:pStyle w:val="Prrafodelista"/>
        <w:numPr>
          <w:ilvl w:val="1"/>
          <w:numId w:val="2"/>
        </w:numPr>
        <w:shd w:val="clear" w:color="auto" w:fill="FFFFFF"/>
        <w:spacing w:after="0" w:line="240" w:lineRule="auto"/>
        <w:rPr>
          <w:rFonts w:ascii="Arial Narrow" w:eastAsia="Arial Narrow" w:hAnsi="Arial Narrow" w:cs="Arial Narrow"/>
          <w:color w:val="37393C"/>
          <w:sz w:val="24"/>
          <w:szCs w:val="24"/>
        </w:rPr>
      </w:pPr>
      <w:r w:rsidRPr="00373D36">
        <w:rPr>
          <w:rFonts w:ascii="Arial Narrow" w:eastAsia="Arial Narrow" w:hAnsi="Arial Narrow" w:cs="Arial Narrow"/>
          <w:color w:val="37393C"/>
          <w:sz w:val="24"/>
          <w:szCs w:val="24"/>
        </w:rPr>
        <w:t>Cartagena Garcés, R. (2019). </w:t>
      </w:r>
      <w:r w:rsidRPr="00373D36">
        <w:rPr>
          <w:rFonts w:ascii="Arial Narrow" w:eastAsia="Arial Narrow" w:hAnsi="Arial Narrow" w:cs="Arial Narrow"/>
          <w:i/>
          <w:color w:val="37393C"/>
          <w:sz w:val="24"/>
          <w:szCs w:val="24"/>
        </w:rPr>
        <w:t>Reproducción. Serie Vida Sexual con Valores. Grado 7</w:t>
      </w:r>
      <w:r w:rsidRPr="00373D36">
        <w:rPr>
          <w:rFonts w:ascii="Arial Narrow" w:eastAsia="Arial Narrow" w:hAnsi="Arial Narrow" w:cs="Arial Narrow"/>
          <w:color w:val="37393C"/>
          <w:sz w:val="24"/>
          <w:szCs w:val="24"/>
        </w:rPr>
        <w:t>. Libros En Red.</w:t>
      </w:r>
    </w:p>
    <w:p w:rsidR="00B52C22" w:rsidRPr="00373D36" w:rsidRDefault="00000000" w:rsidP="00373D36">
      <w:pPr>
        <w:pStyle w:val="Prrafodelista"/>
        <w:numPr>
          <w:ilvl w:val="1"/>
          <w:numId w:val="2"/>
        </w:numPr>
        <w:shd w:val="clear" w:color="auto" w:fill="FFFFFF"/>
        <w:spacing w:after="0" w:line="240" w:lineRule="auto"/>
        <w:rPr>
          <w:rFonts w:ascii="Arial Narrow" w:eastAsia="Arial Narrow" w:hAnsi="Arial Narrow" w:cs="Arial Narrow"/>
          <w:color w:val="37393C"/>
          <w:sz w:val="24"/>
          <w:szCs w:val="24"/>
        </w:rPr>
      </w:pPr>
      <w:r w:rsidRPr="00373D36">
        <w:rPr>
          <w:rFonts w:ascii="Arial Narrow" w:eastAsia="Arial Narrow" w:hAnsi="Arial Narrow" w:cs="Arial Narrow"/>
          <w:color w:val="37393C"/>
          <w:sz w:val="24"/>
          <w:szCs w:val="24"/>
          <w:highlight w:val="white"/>
        </w:rPr>
        <w:t>Martínez-Frías, M. L. (2010). Actualización de conocimientos sobre formación de los gametos. Procesos de meiosis y fecundación. </w:t>
      </w:r>
      <w:r w:rsidRPr="00373D36">
        <w:rPr>
          <w:rFonts w:ascii="Arial Narrow" w:eastAsia="Arial Narrow" w:hAnsi="Arial Narrow" w:cs="Arial Narrow"/>
          <w:i/>
          <w:color w:val="37393C"/>
          <w:sz w:val="24"/>
          <w:szCs w:val="24"/>
          <w:highlight w:val="white"/>
        </w:rPr>
        <w:t>Semergen</w:t>
      </w:r>
      <w:r w:rsidRPr="00373D36">
        <w:rPr>
          <w:rFonts w:ascii="Arial Narrow" w:eastAsia="Arial Narrow" w:hAnsi="Arial Narrow" w:cs="Arial Narrow"/>
          <w:color w:val="37393C"/>
          <w:sz w:val="24"/>
          <w:szCs w:val="24"/>
          <w:highlight w:val="white"/>
        </w:rPr>
        <w:t>, </w:t>
      </w:r>
      <w:r w:rsidRPr="00373D36">
        <w:rPr>
          <w:rFonts w:ascii="Arial Narrow" w:eastAsia="Arial Narrow" w:hAnsi="Arial Narrow" w:cs="Arial Narrow"/>
          <w:i/>
          <w:color w:val="37393C"/>
          <w:sz w:val="24"/>
          <w:szCs w:val="24"/>
          <w:highlight w:val="white"/>
        </w:rPr>
        <w:t>36</w:t>
      </w:r>
      <w:r w:rsidRPr="00373D36">
        <w:rPr>
          <w:rFonts w:ascii="Arial Narrow" w:eastAsia="Arial Narrow" w:hAnsi="Arial Narrow" w:cs="Arial Narrow"/>
          <w:color w:val="37393C"/>
          <w:sz w:val="24"/>
          <w:szCs w:val="24"/>
          <w:highlight w:val="white"/>
        </w:rPr>
        <w:t>(4), 216–220. https://doi.org/10.1016/j.semerg.2009.12.013</w:t>
      </w:r>
    </w:p>
    <w:sectPr w:rsidR="00B52C22" w:rsidRPr="00373D36">
      <w:headerReference w:type="default" r:id="rId8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5B038D" w:rsidRDefault="005B038D" w:rsidP="00373D36">
      <w:pPr>
        <w:spacing w:after="0" w:line="240" w:lineRule="auto"/>
      </w:pPr>
      <w:r>
        <w:separator/>
      </w:r>
    </w:p>
  </w:endnote>
  <w:endnote w:type="continuationSeparator" w:id="0">
    <w:p w:rsidR="005B038D" w:rsidRDefault="005B038D" w:rsidP="00373D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56B5BCE-DD5F-4B3D-9472-02BA281ABCBF}"/>
    <w:embedBold r:id="rId2" w:fontKey="{4532BEC2-8333-4B46-B072-9536AAB72B3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4028E0F2-6665-467F-ACDE-CA015F8B5084}"/>
    <w:embedItalic r:id="rId4" w:fontKey="{7AEF4DC0-61AC-4D51-A340-464E4BC6FA61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5" w:fontKey="{38A596D5-D10E-4C7A-B04E-4C3DD1B6E343}"/>
    <w:embedBold r:id="rId6" w:fontKey="{9C1E3642-24CE-49EF-9942-02609666EC4E}"/>
    <w:embedItalic r:id="rId7" w:fontKey="{0859D1AF-4778-4E0C-988A-51D918E0AEFC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8" w:fontKey="{FA325557-C30E-4E04-BB8C-357170074C3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5B038D" w:rsidRDefault="005B038D" w:rsidP="00373D36">
      <w:pPr>
        <w:spacing w:after="0" w:line="240" w:lineRule="auto"/>
      </w:pPr>
      <w:r>
        <w:separator/>
      </w:r>
    </w:p>
  </w:footnote>
  <w:footnote w:type="continuationSeparator" w:id="0">
    <w:p w:rsidR="005B038D" w:rsidRDefault="005B038D" w:rsidP="00373D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373D36" w:rsidRDefault="00373D36">
    <w:pPr>
      <w:pStyle w:val="Encabezado"/>
    </w:pPr>
    <w:r>
      <w:rPr>
        <w:noProof/>
      </w:rPr>
      <w:drawing>
        <wp:inline distT="0" distB="0" distL="0" distR="0" wp14:anchorId="20BFEB71">
          <wp:extent cx="1627505" cy="756285"/>
          <wp:effectExtent l="0" t="0" r="0" b="5715"/>
          <wp:docPr id="1309396645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27505" cy="7562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17722D4"/>
    <w:multiLevelType w:val="hybridMultilevel"/>
    <w:tmpl w:val="9E1AC514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E0F224F"/>
    <w:multiLevelType w:val="multilevel"/>
    <w:tmpl w:val="D7709570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18D1EE6"/>
    <w:multiLevelType w:val="hybridMultilevel"/>
    <w:tmpl w:val="37808988"/>
    <w:lvl w:ilvl="0" w:tplc="240A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09860533">
    <w:abstractNumId w:val="1"/>
  </w:num>
  <w:num w:numId="2" w16cid:durableId="381371610">
    <w:abstractNumId w:val="0"/>
  </w:num>
  <w:num w:numId="3" w16cid:durableId="145328529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2C22"/>
    <w:rsid w:val="002B6382"/>
    <w:rsid w:val="002B6A62"/>
    <w:rsid w:val="00373D36"/>
    <w:rsid w:val="003E5044"/>
    <w:rsid w:val="005854D2"/>
    <w:rsid w:val="005B038D"/>
    <w:rsid w:val="009D0375"/>
    <w:rsid w:val="00B52C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95E7BC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cs="Times New Roman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styleId="Hipervnculo">
    <w:name w:val="Hyperlink"/>
    <w:uiPriority w:val="99"/>
    <w:unhideWhenUsed/>
    <w:rPr>
      <w:color w:val="0000FF"/>
      <w:u w:val="single"/>
    </w:r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paragraph" w:styleId="Sinespaciado">
    <w:name w:val="No Spacing"/>
    <w:link w:val="SinespaciadoCar"/>
    <w:uiPriority w:val="1"/>
    <w:qFormat/>
    <w:pPr>
      <w:widowControl w:val="0"/>
      <w:wordWrap w:val="0"/>
      <w:autoSpaceDE w:val="0"/>
      <w:autoSpaceDN w:val="0"/>
      <w:jc w:val="both"/>
    </w:pPr>
    <w:rPr>
      <w:rFonts w:eastAsiaTheme="minorEastAsia"/>
      <w:kern w:val="2"/>
      <w:lang w:val="en-US" w:eastAsia="ko-KR"/>
    </w:rPr>
  </w:style>
  <w:style w:type="character" w:customStyle="1" w:styleId="SinespaciadoCar">
    <w:name w:val="Sin espaciado Car"/>
    <w:basedOn w:val="Fuentedeprrafopredeter"/>
    <w:link w:val="Sinespaciado"/>
    <w:uiPriority w:val="1"/>
    <w:qFormat/>
    <w:rPr>
      <w:rFonts w:eastAsiaTheme="minorEastAsia"/>
      <w:kern w:val="2"/>
      <w:sz w:val="20"/>
      <w:lang w:val="en-US" w:eastAsia="ko-KR"/>
    </w:rPr>
  </w:style>
  <w:style w:type="character" w:styleId="Textodelmarcadordeposicin">
    <w:name w:val="Placeholder Text"/>
    <w:basedOn w:val="Fuentedeprrafopredeter"/>
    <w:uiPriority w:val="99"/>
    <w:semiHidden/>
    <w:qFormat/>
    <w:rPr>
      <w:color w:val="808080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373D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73D36"/>
    <w:rPr>
      <w:rFonts w:cs="Times New Roman"/>
      <w:lang w:eastAsia="en-US"/>
    </w:rPr>
  </w:style>
  <w:style w:type="paragraph" w:styleId="Piedepgina">
    <w:name w:val="footer"/>
    <w:basedOn w:val="Normal"/>
    <w:link w:val="PiedepginaCar"/>
    <w:uiPriority w:val="99"/>
    <w:unhideWhenUsed/>
    <w:rsid w:val="00373D36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73D36"/>
    <w:rPr>
      <w:rFonts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Y9jUbL/6C+IHpbDrp+AbisIXydg==">CgMxLjAyCGguZ2pkZ3hzOAByITFRMEw3MFEteW1OOWxIRDRPM3BlQkpIemk4MUs0WV9kSw==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504</Words>
  <Characters>2772</Characters>
  <Application>Microsoft Office Word</Application>
  <DocSecurity>0</DocSecurity>
  <Lines>23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3</cp:revision>
  <dcterms:created xsi:type="dcterms:W3CDTF">2024-09-24T16:11:00Z</dcterms:created>
  <dcterms:modified xsi:type="dcterms:W3CDTF">2024-10-02T15:00:00Z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1033-12.2.0.18283</vt:lpwstr>
  </property>
  <property fmtid="{D5CDD505-2E9C-101B-9397-08002B2CF9AE}" pid="3" name="ICV">
    <vt:lpwstr>C0607A36A1B34170B41F8FD8EE41C958_13</vt:lpwstr>
  </property>
</Properties>
</file>